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BE" w:rsidRDefault="00233BBE" w:rsidP="00233BBE">
      <w:pPr>
        <w:pStyle w:val="NormalnyWeb"/>
      </w:pPr>
    </w:p>
    <w:p w:rsidR="00233BBE" w:rsidRDefault="00233BBE" w:rsidP="00233BBE">
      <w:pPr>
        <w:pStyle w:val="NormalnyWeb"/>
      </w:pPr>
      <w:r>
        <w:rPr>
          <w:rStyle w:val="Pogrubienie"/>
        </w:rPr>
        <w:t>Regulamin korzystania z materiałów i usług</w:t>
      </w:r>
    </w:p>
    <w:p w:rsidR="00233BBE" w:rsidRDefault="00233BBE" w:rsidP="00233BBE">
      <w:pPr>
        <w:pStyle w:val="NormalnyWeb"/>
      </w:pPr>
      <w:r>
        <w:rPr>
          <w:rStyle w:val="Pogrubienie"/>
        </w:rPr>
        <w:t>Gminnej Biblioteki Publicznej w Dębem Wielkim</w:t>
      </w:r>
    </w:p>
    <w:p w:rsidR="00233BBE" w:rsidRDefault="00233BBE" w:rsidP="00233BBE">
      <w:pPr>
        <w:pStyle w:val="NormalnyWeb"/>
      </w:pPr>
      <w:r>
        <w:br/>
      </w:r>
      <w:r>
        <w:rPr>
          <w:rStyle w:val="Pogrubienie"/>
        </w:rPr>
        <w:t>I. Postanowienia ogólne.</w:t>
      </w:r>
    </w:p>
    <w:p w:rsidR="00233BBE" w:rsidRDefault="00233BBE" w:rsidP="00233BBE">
      <w:pPr>
        <w:pStyle w:val="NormalnyWeb"/>
      </w:pPr>
      <w:r>
        <w:t>§ 1</w:t>
      </w:r>
    </w:p>
    <w:p w:rsidR="00233BBE" w:rsidRDefault="00233BBE" w:rsidP="00233BB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Prawo do korzystania z Gminnej Biblioteki Publicznej w Dębem Wielkim, zwanej dalej „Biblioteką” ma charakter powszechny na zasadach określonych w Ustawie o bibliotekach oraz niniejszym regulaminie.</w:t>
      </w:r>
    </w:p>
    <w:p w:rsidR="00233BBE" w:rsidRDefault="00233BBE" w:rsidP="00233BB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Wypożyczanie materiałów bibliotecznych, korzystanie ze zbiorów zgromadzonych w czytelni oraz korzystanie ze sprzętu komputerowego jest bezpłatne.</w:t>
      </w:r>
    </w:p>
    <w:p w:rsidR="00233BBE" w:rsidRDefault="00233BBE" w:rsidP="00233BBE">
      <w:pPr>
        <w:pStyle w:val="NormalnyWeb"/>
      </w:pPr>
      <w:r>
        <w:t>§ 2</w:t>
      </w:r>
    </w:p>
    <w:p w:rsidR="00233BBE" w:rsidRDefault="00233BBE" w:rsidP="00233BB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Podstawą korzystania z Biblioteki jest okazanie Karty Czytelnika/Użytkownika.</w:t>
      </w:r>
    </w:p>
    <w:p w:rsidR="00233BBE" w:rsidRDefault="00233BBE" w:rsidP="00233BB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Czytelnik może wypożyczać książki samodzielnie lub za pośrednictwem osoby wskazanej przez niego w karcie zapisu „Zobowiązanie” jako upoważnionej do wypożyczenia książek w imieniu Czytelnika.</w:t>
      </w:r>
    </w:p>
    <w:p w:rsidR="00233BBE" w:rsidRDefault="00233BBE" w:rsidP="00233BB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Podstawą wydania Karty Czytelnika/Użytkownika jest okazanie przez zainteresowanego ważnego dowodu osobistego lub innego dokumentu zawierającego PESEL.</w:t>
      </w:r>
    </w:p>
    <w:p w:rsidR="00233BBE" w:rsidRDefault="00233BBE" w:rsidP="00233BB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Czytelnik/Użytkownik ponosi odpowiedzialność za każde użycie Karty.</w:t>
      </w:r>
    </w:p>
    <w:p w:rsidR="00233BBE" w:rsidRDefault="00233BBE" w:rsidP="00233BB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Zabrania się przenoszenia na inne osoby uprawnień wynikających z posiadania Karty Czytelnika z zastrzeżeniem ust. 2.</w:t>
      </w:r>
    </w:p>
    <w:p w:rsidR="00233BBE" w:rsidRDefault="00233BBE" w:rsidP="00233BB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Fakt zagubienia lub uszkodzenia Karty Czytelnika/Użytkownika należy niezwłocznie zgłosić w Bibliotece. Za wydanie duplikatu pobierana jest opłata w wysokości 5 zł (pięciu zł.)</w:t>
      </w:r>
    </w:p>
    <w:p w:rsidR="00233BBE" w:rsidRDefault="00233BBE" w:rsidP="00233BBE">
      <w:pPr>
        <w:pStyle w:val="NormalnyWeb"/>
      </w:pPr>
      <w:r>
        <w:t>§ 3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Zapisując się do Biblioteki Czytelnik/Użytkownik obowiązany jest: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okazać dowód osobisty lub inny dokument zawierający PESEL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zapoznać się z niniejszym Regulaminem i zobowiązać się do jego przestrzegania, podpisując na karcie, o której mowa w pkt. 3 stosowne oświadczenie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wypełnić kartę zapisu „Zobowiązanie”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Małoletni w celu dokonania zapisu są obowiązani stawić się w Bibliotece z rodzicem lub opiekunem prawnym, legitymującym się ważnym dowodem osobistym. Warunkiem korzystania z Biblioteki przez osoby małoletnie jest złożone w obecności bibliotekarza pisemne oświadczenie rodzica lub opiekuna o przyjęciu odpowiedzialności za zobowiązania małoletniego Czytelnika/Użytkownik wobec Biblioteki.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Dane osobowe gromadzone przez bibliotekę są przetwarzane do celów statutowych, określonych w ustawie o bibliotekach.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Administratorem danych jest Gminna Biblioteka Publiczna w Dębem Wielkim , ul. Strażacka 1, 05-311 Dębe Wielkie.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Dane wykorzystane będą w celu zapewnienia ochrony udostępnianych i wypożyczanych zbiorów, dochodzenia ewentualnych roszczeń prawnych, prowadzenia statystyk dotyczących korzystania z biblioteki.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Osobie, której dotyczą dane, przysługuje prawo dostępu do treści tych danych i ich poprawiania.</w:t>
      </w:r>
    </w:p>
    <w:p w:rsidR="00233BBE" w:rsidRDefault="00233BBE" w:rsidP="00233BB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 razie zmiany miejsca zamieszkania, Czytelnik/Użytkownik jest zobowiązany niezwłocznie poinformować o tym fakcie Bibliotekę.</w:t>
      </w:r>
      <w:r>
        <w:br/>
      </w:r>
      <w:r>
        <w:rPr>
          <w:rStyle w:val="Pogrubienie"/>
        </w:rPr>
        <w:t>II.       Zasady wypożyczania materiałów bibliotecznych</w:t>
      </w:r>
    </w:p>
    <w:p w:rsidR="00233BBE" w:rsidRDefault="00233BBE" w:rsidP="00233BBE">
      <w:pPr>
        <w:pStyle w:val="NormalnyWeb"/>
      </w:pPr>
      <w:r>
        <w:t>§ 4</w:t>
      </w:r>
    </w:p>
    <w:p w:rsidR="00233BBE" w:rsidRDefault="00233BBE" w:rsidP="00233BB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Czytelnik ma prawo jednorazowo wypożyczyć 5 książek lub </w:t>
      </w:r>
      <w:proofErr w:type="spellStart"/>
      <w:r>
        <w:t>audiobooków</w:t>
      </w:r>
      <w:proofErr w:type="spellEnd"/>
      <w:r>
        <w:t xml:space="preserve"> na miesiąc.</w:t>
      </w:r>
    </w:p>
    <w:p w:rsidR="00233BBE" w:rsidRDefault="00233BBE" w:rsidP="00233BB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 przypadku osób starszych i niepełnosprawnych możliwe jest zwiększenie limitu do 10 wypożyczonych woluminów książek  oraz wydłużenie terminu zwrotu wypożyczanych pozycji.</w:t>
      </w:r>
    </w:p>
    <w:p w:rsidR="00233BBE" w:rsidRDefault="00233BBE" w:rsidP="00233BB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Ustala się następujące okresy wypożyczeń dla poszczególnych rodzajów materiałów bibliotecznych:</w:t>
      </w:r>
    </w:p>
    <w:p w:rsidR="00233BBE" w:rsidRDefault="00233BBE" w:rsidP="00233BBE">
      <w:pPr>
        <w:pStyle w:val="NormalnyWeb"/>
      </w:pPr>
      <w:r>
        <w:t>– książki z czytelni – 2 dni,</w:t>
      </w:r>
    </w:p>
    <w:p w:rsidR="00233BBE" w:rsidRDefault="00233BBE" w:rsidP="00233BBE">
      <w:pPr>
        <w:pStyle w:val="NormalnyWeb"/>
      </w:pPr>
      <w:r>
        <w:t>– pozostałe książki – 30 dni,</w:t>
      </w:r>
    </w:p>
    <w:p w:rsidR="00233BBE" w:rsidRDefault="00233BBE" w:rsidP="00233BBE">
      <w:pPr>
        <w:pStyle w:val="NormalnyWeb"/>
      </w:pPr>
      <w:r>
        <w:t>– „książka mówiona” – 30 dni,</w:t>
      </w:r>
    </w:p>
    <w:p w:rsidR="00233BBE" w:rsidRDefault="00233BBE" w:rsidP="00233BB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Powyższe okresy wypożyczeń ulegają automatycznie wydłużeniu, w przypadku gdy termin zwrotu wypada w dniu, w którym Biblioteka jest nieczynna.</w:t>
      </w:r>
    </w:p>
    <w:p w:rsidR="00233BBE" w:rsidRDefault="00233BBE" w:rsidP="00233BB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Na prośbę Czytelnika złożoną przed upływem terminu zwrotu danej książki lub </w:t>
      </w:r>
      <w:proofErr w:type="spellStart"/>
      <w:r>
        <w:t>audiobooka</w:t>
      </w:r>
      <w:proofErr w:type="spellEnd"/>
      <w:r>
        <w:t xml:space="preserve"> dyżurujący bibliotekarz może przedłużyć termin zwrotu wypożyczonej książki lub </w:t>
      </w:r>
      <w:proofErr w:type="spellStart"/>
      <w:r>
        <w:t>audiobooka</w:t>
      </w:r>
      <w:proofErr w:type="spellEnd"/>
      <w:r>
        <w:t xml:space="preserve"> pod warunkiem, że nie zostały one zamówione przez innego Czytelnika.</w:t>
      </w:r>
    </w:p>
    <w:p w:rsidR="00233BBE" w:rsidRDefault="00233BBE" w:rsidP="00233BB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Prolongaty można dokonać bezpośrednio w Bibliotece lub telefonicznie. Termin zwrotu może być przedłużony tylko jeden raz.</w:t>
      </w:r>
    </w:p>
    <w:p w:rsidR="00233BBE" w:rsidRDefault="00233BBE" w:rsidP="00233BB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Wypożyczający może zarezerwować materiały biblioteczne aktualnie wypożyczone przez innych użytkowników. Zarezerwowane materiały należy odebrać w ciągu 7 dni od zwrócenia ich przez poprzednich użytkowników. W przypadku powiadomienia w formie e-mail – w terminie wskazanym. Po tym terminie rezerwacje są anulowane.</w:t>
      </w:r>
    </w:p>
    <w:p w:rsidR="00233BBE" w:rsidRDefault="00233BBE" w:rsidP="00233BB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Zabrania się kopiowania wypożyczonych materiałów na nośnikach magnetycznych</w:t>
      </w:r>
      <w:r>
        <w:br/>
        <w:t>i elektronicznych. Wypożyczone oprogramowanie przed zwrotem do Biblioteki należy odinstalować.</w:t>
      </w:r>
    </w:p>
    <w:p w:rsidR="00233BBE" w:rsidRDefault="00233BBE" w:rsidP="00233BBE">
      <w:pPr>
        <w:pStyle w:val="NormalnyWeb"/>
      </w:pPr>
      <w:r>
        <w:t>§ 5</w:t>
      </w:r>
    </w:p>
    <w:p w:rsidR="00233BBE" w:rsidRDefault="00233BBE" w:rsidP="00233BB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Na życzenie Czytelnika/Użytkownika dyżurujący bibliotekarz udziela informacji o książkach, pomaga w doborze literatury, w korzystaniu z katalogów, wydawnictw informacyjnych itp.</w:t>
      </w:r>
    </w:p>
    <w:p w:rsidR="00233BBE" w:rsidRDefault="00233BBE" w:rsidP="00233BBE">
      <w:pPr>
        <w:pStyle w:val="NormalnyWeb"/>
      </w:pPr>
      <w:r>
        <w:t>§ 6</w:t>
      </w:r>
    </w:p>
    <w:p w:rsidR="00233BBE" w:rsidRDefault="00233BBE" w:rsidP="00233BBE">
      <w:pPr>
        <w:pStyle w:val="NormalnyWeb"/>
      </w:pPr>
      <w:r>
        <w:t> </w:t>
      </w:r>
    </w:p>
    <w:p w:rsidR="00233BBE" w:rsidRDefault="00233BBE" w:rsidP="00233BB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Przed wypożyczeniem książki Czytelnik powinien sprawdzić jej stan i zgłosić ewentualne uwagi bibliotekarzowi. W przeciwnym razie przyjmuje się, że książka nie była zniszczona.</w:t>
      </w:r>
    </w:p>
    <w:p w:rsidR="00233BBE" w:rsidRDefault="00233BBE" w:rsidP="00233BB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W przypadku zgubienia lub zniszczenia książki lub </w:t>
      </w:r>
      <w:proofErr w:type="spellStart"/>
      <w:r>
        <w:t>audiobooka</w:t>
      </w:r>
      <w:proofErr w:type="spellEnd"/>
      <w:r>
        <w:t xml:space="preserve"> Czytelnik ma obowiązek kupić taką samą książkę lub </w:t>
      </w:r>
      <w:proofErr w:type="spellStart"/>
      <w:r>
        <w:t>audiobook</w:t>
      </w:r>
      <w:proofErr w:type="spellEnd"/>
      <w:r>
        <w:t xml:space="preserve">. Jeśli nie jest to możliwe, po uzgodnieniu z bibliotekarzem może kupić inną potrzebną Bibliotece książkę lub </w:t>
      </w:r>
      <w:proofErr w:type="spellStart"/>
      <w:r>
        <w:t>audiobook</w:t>
      </w:r>
      <w:proofErr w:type="spellEnd"/>
      <w:r>
        <w:t xml:space="preserve"> lub zapłacić ekwiwalent w wysokości aktualnej wartości rynkowej książki lub </w:t>
      </w:r>
      <w:proofErr w:type="spellStart"/>
      <w:r>
        <w:t>audiobooka</w:t>
      </w:r>
      <w:proofErr w:type="spellEnd"/>
      <w:r>
        <w:t>.</w:t>
      </w:r>
    </w:p>
    <w:p w:rsidR="00233BBE" w:rsidRDefault="00233BBE" w:rsidP="00233BB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 xml:space="preserve">Na sumy wpłacane z tytułu zagubienia lub zniszczenia książki lub </w:t>
      </w:r>
      <w:proofErr w:type="spellStart"/>
      <w:r>
        <w:t>audiobooka</w:t>
      </w:r>
      <w:proofErr w:type="spellEnd"/>
      <w:r>
        <w:t xml:space="preserve"> biblioteka wydaje czytelnikowi pokwitowanie.</w:t>
      </w:r>
    </w:p>
    <w:p w:rsidR="00233BBE" w:rsidRDefault="00233BBE" w:rsidP="00233BBE">
      <w:pPr>
        <w:pStyle w:val="NormalnyWeb"/>
      </w:pPr>
      <w:r>
        <w:t>§ 7</w:t>
      </w:r>
    </w:p>
    <w:p w:rsidR="00233BBE" w:rsidRDefault="00233BBE" w:rsidP="00233BB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Czytelnik pokrywa koszty upomnienia.</w:t>
      </w:r>
      <w:r>
        <w:br/>
        <w:t>2. Jeżeli czytelnik mimo wysyłania upomnień odmawia zwrotu książek lub uiszczenia należnych opłat, Biblioteka dochodzi swych roszczeń zgodnie z przepisami prawa.</w:t>
      </w:r>
      <w:r>
        <w:br/>
        <w:t>III. </w:t>
      </w:r>
      <w:r>
        <w:rPr>
          <w:rStyle w:val="Pogrubienie"/>
        </w:rPr>
        <w:t>        Zasady udostępniania zbiorów w czytelni.</w:t>
      </w:r>
    </w:p>
    <w:p w:rsidR="00233BBE" w:rsidRDefault="00233BBE" w:rsidP="00233BBE">
      <w:pPr>
        <w:pStyle w:val="NormalnyWeb"/>
      </w:pPr>
      <w:r>
        <w:t>§ 8</w:t>
      </w:r>
    </w:p>
    <w:p w:rsidR="00233BBE" w:rsidRDefault="00233BBE" w:rsidP="00233BB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Warunkiem korzystania z Czytelni jest posiadanie aktualnej karty bibliotecznej z kodem kreskowym, zwanej dalej kartą biblioteczną.</w:t>
      </w:r>
    </w:p>
    <w:p w:rsidR="00233BBE" w:rsidRDefault="00233BBE" w:rsidP="00233BB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 czytelni można korzystać ze wszystkich materiałów, znajdujących się w Bibliotece.</w:t>
      </w:r>
    </w:p>
    <w:p w:rsidR="00233BBE" w:rsidRDefault="00233BBE" w:rsidP="00233BB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Po zakończeniu korzystania z Czytelni czytelnik zwraca wykorzystywane książki i czasopisma dyżurującemu bibliotekarzowi, który po ich sprawdzeniu oddaje czytelnikowi pobraną kartę biblioteczną.</w:t>
      </w:r>
    </w:p>
    <w:p w:rsidR="00233BBE" w:rsidRDefault="00233BBE" w:rsidP="00233BB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 wyjątkowych sytuacjach książkę z czytelni (poza encyklopediami, słownikami i albumami) można wypożyczyć na okres do 7 dni, o czym decyduje bibliotekarz.</w:t>
      </w:r>
    </w:p>
    <w:p w:rsidR="00233BBE" w:rsidRDefault="00233BBE" w:rsidP="00233BB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Z Czytelni nie mogą korzystać:</w:t>
      </w:r>
    </w:p>
    <w:p w:rsidR="00233BBE" w:rsidRDefault="00233BBE" w:rsidP="00233BBE">
      <w:pPr>
        <w:pStyle w:val="NormalnyWeb"/>
      </w:pPr>
      <w:r>
        <w:t>– osoby, które swoim zachowaniem zakłócają pracę czytelnikom i pracownikom Czytelni.</w:t>
      </w:r>
    </w:p>
    <w:p w:rsidR="00233BBE" w:rsidRDefault="00233BBE" w:rsidP="00233BBE">
      <w:pPr>
        <w:pStyle w:val="NormalnyWeb"/>
      </w:pPr>
      <w:r>
        <w:t>– osoby, u których w domu panuje choroba zakaźna.</w:t>
      </w:r>
    </w:p>
    <w:p w:rsidR="00233BBE" w:rsidRDefault="00233BBE" w:rsidP="00233BBE">
      <w:pPr>
        <w:pStyle w:val="NormalnyWeb"/>
      </w:pPr>
      <w:r>
        <w:rPr>
          <w:rStyle w:val="Pogrubienie"/>
        </w:rPr>
        <w:t>III.        Zasady użytkowania sprzętu komputerowego i dostępu do Internetu.</w:t>
      </w:r>
    </w:p>
    <w:p w:rsidR="00233BBE" w:rsidRDefault="00233BBE" w:rsidP="00233BBE">
      <w:pPr>
        <w:pStyle w:val="NormalnyWeb"/>
      </w:pPr>
      <w:r>
        <w:t>§ 9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Korzystanie z Internetu jest bezpłatne.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 przypadku większej ilości osób chętnych do korzystania z zasobów komputerowych w Czytelni, pracownik biblioteki może skracać czas trwania sesji do 30 minut.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Przy stanowiskach komputerowych obowiązuje zakaz spożywania napojów i artykułów spożywczych.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Wyszukiwania internetowe mają służyć celom informacyjnym i edukacyjnym. Zabronione jest korzystanie z komputera w celach komercyjnych.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Pracownik biblioteki ma prawo kontrolować czynności wykonywane przez użytkownika przy komputerze.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Nieprawidłowości lub uszkodzenia sprzętu komputerowego bądź oprogramowania należy niezwłocznie zgłosić pracownikowi biblioteki. Wszelkie komunikaty  o obecności wirusów należy natychmiast przekazać pracownikowi biblioteki.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 przypadku „zawieszenia” pracy komputera należy powiadomić o tym pracownika biblioteki bez podejmowania próby naprawy.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Użytkownik sporządzony przez siebie plik może zapisać na nośnikach elektronicznych bądź go wydrukować. Sporządzanie wydruku jest odpłatne zgodnie z cennikiem. Kwoty pobrane za płatne usługi wykonywane w ramach działalności statutowej Biblioteki będą rozliczne kwartalnie i wpłacane na konto bankowe Gminnej Biblioteki Publicznej w Dębem Wielkim i stanowić będą dochód wykorzystywany na cele statutowe.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Osoby niepełnoletnie mogą zostać pozbawione dostępu do komputera na żądanie rodziców lub opiekunów.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Po zakończeniu sesji komputer powinien być pozostawiony w konfiguracji zastanej.</w:t>
      </w:r>
    </w:p>
    <w:p w:rsidR="00233BBE" w:rsidRDefault="00233BBE" w:rsidP="00233B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Biblioteka nie ponosi odpowiedzialności za dane pozostawione przez użytkownika na stacji komputerowej, a w szczególności za hasła, dane osobowe, dane poufne itp.</w:t>
      </w:r>
    </w:p>
    <w:p w:rsidR="00233BBE" w:rsidRDefault="00233BBE" w:rsidP="00233BBE">
      <w:pPr>
        <w:pStyle w:val="NormalnyWeb"/>
      </w:pPr>
      <w:r>
        <w:t>§ 10</w:t>
      </w:r>
    </w:p>
    <w:p w:rsidR="00233BBE" w:rsidRDefault="00233BBE" w:rsidP="00233BBE">
      <w:pPr>
        <w:pStyle w:val="NormalnyWeb"/>
      </w:pPr>
      <w:r>
        <w:rPr>
          <w:rStyle w:val="Pogrubienie"/>
        </w:rPr>
        <w:t>Czytelnika/Użytkownika obowiązuje</w:t>
      </w:r>
      <w:r>
        <w:t>: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Pozostawienie w wyznaczonym miejscu  wierzchniego okrycia, plecaków, toreb, siatek, parasoli itp.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Informowanie o wnoszeniu do Czytelni własnych wydawnictw.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Zakaz wynoszenia poza obręb Czytelni materiałów bibliotecznych.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Zgłaszanie bibliotekarzowi uszkodzeń zauważonych w udostępnionych zbiorach.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Zachowanie ciszy.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Wyciszenie telefonów komórkowych i opuszczenie czytelni na czas rozmowy telefonicznej.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Zakaz spożywania posiłków.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Dbałość o udostępniane materiały biblioteczne.</w:t>
      </w:r>
    </w:p>
    <w:p w:rsidR="00233BBE" w:rsidRDefault="00233BBE" w:rsidP="00233B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Pokrycie kosztów uszkodzonych materiałów bibliotecznych, których wysokość określa dyrektor w zależności od stopnia uszkodzenia i wartości wydawnictwa. Na sumy wpłacone z tytułu odszkodowania Biblioteka wydaje Czytelnikowi pokwitowanie.</w:t>
      </w:r>
    </w:p>
    <w:p w:rsidR="00233BBE" w:rsidRDefault="00233BBE" w:rsidP="00233BBE">
      <w:pPr>
        <w:pStyle w:val="NormalnyWeb"/>
      </w:pPr>
      <w:r>
        <w:t>§ 11</w:t>
      </w:r>
    </w:p>
    <w:p w:rsidR="00233BBE" w:rsidRDefault="00233BBE" w:rsidP="00233BBE">
      <w:pPr>
        <w:pStyle w:val="NormalnyWeb"/>
      </w:pPr>
      <w:r>
        <w:rPr>
          <w:rStyle w:val="Pogrubienie"/>
        </w:rPr>
        <w:t>Czytelnik/Użytkownik ma prawo:</w:t>
      </w:r>
    </w:p>
    <w:p w:rsidR="00233BBE" w:rsidRDefault="00233BBE" w:rsidP="00233BB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Korzystać z własnego sprzętu (np. z laptopa) za wiedzą i zgodą dyżurującego bibliotekarza i w wyznaczonym do tego miejscu. Biblioteka nie ponosi odpowiedzialności za ewentualną kradzież, utratę danych lub uszkodzenie osobistego sprzętu związane z korzystaniem z niego w Bibliotece.</w:t>
      </w:r>
    </w:p>
    <w:p w:rsidR="00233BBE" w:rsidRDefault="00233BBE" w:rsidP="00233BB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Czytelnik może korzystać z komputerów i Internetu na zasadach określonych w </w:t>
      </w:r>
      <w:proofErr w:type="spellStart"/>
      <w:r>
        <w:t>pkt.III</w:t>
      </w:r>
      <w:proofErr w:type="spellEnd"/>
      <w:r>
        <w:t xml:space="preserve"> regulaminu.</w:t>
      </w:r>
    </w:p>
    <w:p w:rsidR="00233BBE" w:rsidRDefault="00233BBE" w:rsidP="00233BBE">
      <w:pPr>
        <w:pStyle w:val="NormalnyWeb"/>
      </w:pPr>
      <w:r>
        <w:t>§ 12</w:t>
      </w:r>
    </w:p>
    <w:p w:rsidR="00233BBE" w:rsidRDefault="00233BBE" w:rsidP="00233B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Materiały biblioteczne można kopiować po uzyskaniu zgody dyżurującego bibliotekarza,  usługę  wykonuje dyżurujący bibliotekarz.</w:t>
      </w:r>
    </w:p>
    <w:p w:rsidR="00233BBE" w:rsidRDefault="00233BBE" w:rsidP="00233B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Kopiowanie materiałów bibliotecznych jest dozwolone w granicach dopuszczalnych ustawą o prawie autorskim. Kopiowanie to:</w:t>
      </w:r>
    </w:p>
    <w:p w:rsidR="00233BBE" w:rsidRDefault="00233BBE" w:rsidP="00233B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Drukowanie – odpłatnie wg cennika (załącznik nr 1).</w:t>
      </w:r>
      <w:r>
        <w:br/>
        <w:t>b. Fotografowanie aparatem cyfrowym bez flesza i statywu lub telefonem komórkowym – nieodpłatnie po uzyskaniu zgody bibliotekarza.</w:t>
      </w:r>
    </w:p>
    <w:p w:rsidR="00233BBE" w:rsidRDefault="00233BBE" w:rsidP="00233B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Wydruki z Internetu – odpłatnie wg cennika (załącznik nr 1).</w:t>
      </w:r>
      <w:r>
        <w:br/>
        <w:t xml:space="preserve">4. Odpłatność za usługi wymienione w pkt. </w:t>
      </w:r>
      <w:proofErr w:type="spellStart"/>
      <w:r>
        <w:t>a,c</w:t>
      </w:r>
      <w:proofErr w:type="spellEnd"/>
      <w:r>
        <w:t xml:space="preserve"> jest określona w cenniku stanowiącym integralną część niniejszego regulaminu.</w:t>
      </w:r>
    </w:p>
    <w:p w:rsidR="00233BBE" w:rsidRDefault="00233BBE" w:rsidP="00233B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Na sumy wpłacone z tytułu kopiowania Biblioteka wydaje Czytelnikowi pokwitowanie.</w:t>
      </w:r>
    </w:p>
    <w:p w:rsidR="00233BBE" w:rsidRDefault="00233BBE" w:rsidP="00233BBE">
      <w:pPr>
        <w:pStyle w:val="NormalnyWeb"/>
      </w:pPr>
      <w:r>
        <w:t>§ 13</w:t>
      </w:r>
    </w:p>
    <w:p w:rsidR="00233BBE" w:rsidRDefault="00233BBE" w:rsidP="00233BBE">
      <w:pPr>
        <w:pStyle w:val="NormalnyWeb"/>
      </w:pPr>
      <w:r>
        <w:rPr>
          <w:rStyle w:val="Pogrubienie"/>
        </w:rPr>
        <w:t>IV. OGRANICZENIA</w:t>
      </w:r>
    </w:p>
    <w:p w:rsidR="00233BBE" w:rsidRDefault="00233BBE" w:rsidP="00233BBE">
      <w:pPr>
        <w:pStyle w:val="NormalnyWeb"/>
      </w:pPr>
      <w:r>
        <w:t>Użytkownikowi zabrania się:</w:t>
      </w:r>
    </w:p>
    <w:p w:rsidR="00233BBE" w:rsidRDefault="00233BBE" w:rsidP="00233BB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lastRenderedPageBreak/>
        <w:t>Instalowania oprogramowania oraz dokonywania zmian konfiguracji systemu operacyjnego, zainstalowanego na dysku lokalnym komputera.</w:t>
      </w:r>
    </w:p>
    <w:p w:rsidR="00233BBE" w:rsidRDefault="00233BBE" w:rsidP="00233BB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Wykorzystywania Internetu do działalności i wyszukiwania informacji o treści niezgodnej z obowiązującymi przepisami lub obrażającej uczucia innych (pornografia, treści rasistowskie, itp.)</w:t>
      </w:r>
    </w:p>
    <w:p w:rsidR="00233BBE" w:rsidRDefault="00233BBE" w:rsidP="00233BB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Kopiowania na prywatne nośniki programów komputerowych będących własnością biblioteki oraz innych plików i programów, których ściąganie powoduje łamanie praw autorskich.</w:t>
      </w:r>
    </w:p>
    <w:p w:rsidR="00233BBE" w:rsidRDefault="00233BBE" w:rsidP="00233BB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Przesiadania się na inne stanowisko komputerowe bez uprzedniego poinformowania bibliotekarza.</w:t>
      </w:r>
    </w:p>
    <w:p w:rsidR="00233BBE" w:rsidRDefault="00233BBE" w:rsidP="00233BBE">
      <w:pPr>
        <w:pStyle w:val="NormalnyWeb"/>
      </w:pPr>
      <w:r>
        <w:t>§ 14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W razie nieprzestrzegania postanowień niniejszego Regulaminu, Czytelnik/Użytkownik może zostać tymczasowo pozbawiony prawa do korzystania z Biblioteki.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W razie rażącego naruszenia postanowień niniejszego Regulaminu pozbawienie Czytelnika/Użytkownika prawa korzystania z Biblioteki może mieć charakter trwały.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Decyzję w sprawie tymczasowego lub trwałego pozbawienia prawa korzystania z Biblioteki podejmuje dyrektor Biblioteki.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Skargi i wnioski Czytelnicy mogą zgłaszać do Dyrektora Biblioteki.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Zmiany w Regulaminie korzystania z materiałów i usług Gminnej Biblioteki Publicznej w Dębem Wielkim mogą być dokonane tylko i wyłącznie przez Dyrektora Biblioteki.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Traci moc Zarządzenie Nr 1/2012 z dnia 2 stycznia 2012 r. w sprawie nadania Regulaminu korzystania z materiałów i usług Gminnej Biblioteki Publicznej w Dębem Wielkim.</w:t>
      </w:r>
    </w:p>
    <w:p w:rsidR="00233BBE" w:rsidRDefault="00233BBE" w:rsidP="00233BB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Zarządzenie wchodzi w życie z dniem wprowadzenia.</w:t>
      </w:r>
    </w:p>
    <w:p w:rsidR="00233BBE" w:rsidRDefault="00233BBE" w:rsidP="00233BBE">
      <w:pPr>
        <w:pStyle w:val="NormalnyWeb"/>
      </w:pPr>
      <w:r>
        <w:rPr>
          <w:rStyle w:val="Uwydatnienie"/>
        </w:rPr>
        <w:t>Właściwy podpis na oryginale</w:t>
      </w:r>
    </w:p>
    <w:p w:rsidR="00233BBE" w:rsidRDefault="00233BBE" w:rsidP="00233BBE">
      <w:pPr>
        <w:pStyle w:val="NormalnyWeb"/>
      </w:pPr>
      <w:r>
        <w:t> Załącznik nr 1 do:</w:t>
      </w:r>
    </w:p>
    <w:p w:rsidR="00233BBE" w:rsidRDefault="00233BBE" w:rsidP="00233BBE">
      <w:pPr>
        <w:pStyle w:val="NormalnyWeb"/>
      </w:pPr>
      <w:r>
        <w:t>REGULAMINU KORZYSTANIA Z MATERIAŁÓW I USŁUG</w:t>
      </w:r>
    </w:p>
    <w:p w:rsidR="00233BBE" w:rsidRDefault="00233BBE" w:rsidP="00233BBE">
      <w:pPr>
        <w:pStyle w:val="NormalnyWeb"/>
      </w:pPr>
      <w:r>
        <w:t>GMINNEJ BIBLIOTEKI PUBLICZNEJ W DĘBEM WIELKIM</w:t>
      </w:r>
    </w:p>
    <w:p w:rsidR="00233BBE" w:rsidRDefault="00233BBE" w:rsidP="00233BBE">
      <w:pPr>
        <w:pStyle w:val="NormalnyWeb"/>
      </w:pPr>
      <w:r>
        <w:t> </w:t>
      </w:r>
    </w:p>
    <w:p w:rsidR="00233BBE" w:rsidRDefault="00233BBE" w:rsidP="00233BBE">
      <w:pPr>
        <w:pStyle w:val="NormalnyWeb"/>
      </w:pPr>
      <w:r>
        <w:t> </w:t>
      </w:r>
    </w:p>
    <w:p w:rsidR="00233BBE" w:rsidRDefault="00233BBE" w:rsidP="00233BBE">
      <w:pPr>
        <w:pStyle w:val="NormalnyWeb"/>
      </w:pPr>
      <w:r>
        <w:rPr>
          <w:rStyle w:val="Pogrubienie"/>
        </w:rPr>
        <w:t>Cennik usług świadczonych przez Bibliotekę:</w:t>
      </w:r>
    </w:p>
    <w:p w:rsidR="00233BBE" w:rsidRDefault="00233BBE" w:rsidP="00233BBE">
      <w:pPr>
        <w:pStyle w:val="NormalnyWeb"/>
      </w:pPr>
      <w:r>
        <w:t> </w:t>
      </w:r>
    </w:p>
    <w:p w:rsidR="00233BBE" w:rsidRDefault="00233BBE" w:rsidP="00233BBE">
      <w:pPr>
        <w:pStyle w:val="NormalnyWeb"/>
      </w:pPr>
      <w:r>
        <w:t>– </w:t>
      </w:r>
      <w:r>
        <w:rPr>
          <w:rStyle w:val="Pogrubienie"/>
        </w:rPr>
        <w:t>korzystanie z komputera i Internetu, nagrywanie na nośnik CD – bezpłatne</w:t>
      </w:r>
    </w:p>
    <w:p w:rsidR="00233BBE" w:rsidRDefault="00233BBE" w:rsidP="00233BBE">
      <w:pPr>
        <w:pStyle w:val="NormalnyWeb"/>
      </w:pPr>
      <w:r>
        <w:t> </w:t>
      </w:r>
    </w:p>
    <w:p w:rsidR="00233BBE" w:rsidRDefault="00233BBE" w:rsidP="00233BBE">
      <w:pPr>
        <w:pStyle w:val="NormalnyWeb"/>
      </w:pPr>
      <w:r>
        <w:rPr>
          <w:rStyle w:val="Pogrubienie"/>
        </w:rPr>
        <w:t>– drukowanie tekstu:</w:t>
      </w:r>
    </w:p>
    <w:p w:rsidR="00233BBE" w:rsidRDefault="00233BBE" w:rsidP="00233BBE">
      <w:pPr>
        <w:pStyle w:val="NormalnyWeb"/>
      </w:pPr>
      <w:r>
        <w:t>1 strona A4 – 0,30, powyżej 20 stron – 0,20</w:t>
      </w:r>
    </w:p>
    <w:p w:rsidR="00233BBE" w:rsidRDefault="00233BBE" w:rsidP="00233BBE">
      <w:pPr>
        <w:pStyle w:val="NormalnyWeb"/>
      </w:pPr>
      <w:r>
        <w:t> </w:t>
      </w:r>
    </w:p>
    <w:p w:rsidR="00233BBE" w:rsidRDefault="00233BBE" w:rsidP="00233BBE">
      <w:pPr>
        <w:pStyle w:val="NormalnyWeb"/>
      </w:pPr>
      <w:r>
        <w:rPr>
          <w:rStyle w:val="Pogrubienie"/>
        </w:rPr>
        <w:lastRenderedPageBreak/>
        <w:t>– drukowanie kolor:</w:t>
      </w:r>
    </w:p>
    <w:p w:rsidR="00233BBE" w:rsidRDefault="00233BBE" w:rsidP="00233BBE">
      <w:pPr>
        <w:pStyle w:val="NormalnyWeb"/>
      </w:pPr>
      <w:r>
        <w:t>1 strona A4 – 2,00</w:t>
      </w:r>
    </w:p>
    <w:p w:rsidR="00233BBE" w:rsidRDefault="00233BBE" w:rsidP="00233BBE">
      <w:pPr>
        <w:pStyle w:val="NormalnyWeb"/>
      </w:pPr>
      <w:r>
        <w:rPr>
          <w:rStyle w:val="Pogrubienie"/>
        </w:rPr>
        <w:t>– wysłanie faksu:</w:t>
      </w:r>
    </w:p>
    <w:p w:rsidR="00233BBE" w:rsidRDefault="00233BBE" w:rsidP="00233BBE">
      <w:pPr>
        <w:pStyle w:val="NormalnyWeb"/>
      </w:pPr>
      <w:proofErr w:type="spellStart"/>
      <w:r>
        <w:t>fax</w:t>
      </w:r>
      <w:proofErr w:type="spellEnd"/>
      <w:r>
        <w:t xml:space="preserve"> krajowy – 2,00</w:t>
      </w:r>
      <w:r>
        <w:br/>
      </w:r>
      <w:proofErr w:type="spellStart"/>
      <w:r>
        <w:t>fax</w:t>
      </w:r>
      <w:proofErr w:type="spellEnd"/>
      <w:r>
        <w:t xml:space="preserve"> zagranica – 5,00</w:t>
      </w:r>
    </w:p>
    <w:p w:rsidR="00233BBE" w:rsidRDefault="00233BBE" w:rsidP="00233BBE">
      <w:pPr>
        <w:pStyle w:val="NormalnyWeb"/>
      </w:pPr>
      <w:r>
        <w:rPr>
          <w:rStyle w:val="Pogrubienie"/>
        </w:rPr>
        <w:t>OBOWIĄZEK INFORMACYJNY</w:t>
      </w:r>
    </w:p>
    <w:p w:rsidR="00233BBE" w:rsidRDefault="00233BBE" w:rsidP="00233BBE">
      <w:pPr>
        <w:pStyle w:val="NormalnyWeb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– dalej: „RODO” informuję, że: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Administratorem Państwa danych jest Gminna Biblioteka Publiczna w Dębem Wielkim ul. Strażacka 1 05-311 Dębe Wielkie gbpdebewielkie@wp.pl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Państwa dane osobowe będą przetwarzane w celu zapewnienia ochrony udostępnianych i wypożyczanych zbiorów w tym dochodzenia ewentualnych roszczeń prawnych i prowadzonych statystyk dotyczących korzystania z biblioteki, jak również w celu realizacji praw oraz obowiązków wynikających</w:t>
      </w:r>
      <w:r>
        <w:br/>
        <w:t>z przepisów prawa (art. 6 ust. 1 lit. c RODO) oraz ustawy z dnia 27 czerwca 1997r o Bibliotekach oraz ustawa z dnia 29 czerwca 1995 o statystyce publicznej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Państwa dane osobowe będą przetwarzane przez okres niezbędny do realizacji ww. celu z uwzględnieniem okresów przechowywania określonych w przepisach szczególnych,</w:t>
      </w:r>
      <w:r>
        <w:br/>
        <w:t>w tym przepisów archiwalnych.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Państwa dane nie będą przetwarzane w sposób zautomatyzowany, w tym nie będą podlegać profilowaniu.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Państwa dane osobowych nie będą przekazywane poza Europejski Obszar Gospodarczy (obejmujący Unię Europejską, Norwegię, Liechtenstein i Islandię).</w:t>
      </w:r>
    </w:p>
    <w:p w:rsidR="00233BBE" w:rsidRDefault="00233BBE" w:rsidP="00233BB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 związku z przetwarzaniem Państwa danych osobowych, przysługują Państwu następujące prawa:</w:t>
      </w:r>
    </w:p>
    <w:p w:rsidR="00233BBE" w:rsidRDefault="00233BBE" w:rsidP="00233BB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prawo dostępu do swoich danych oraz otrzymania ich kopii;</w:t>
      </w:r>
    </w:p>
    <w:p w:rsidR="00233BBE" w:rsidRDefault="00233BBE" w:rsidP="00233BB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prawo do sprostowania (poprawiania) swoich danych osobowych;</w:t>
      </w:r>
    </w:p>
    <w:p w:rsidR="00233BBE" w:rsidRDefault="00233BBE" w:rsidP="00233BB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prawo do ograniczenia przetwarzania danych osobowych;</w:t>
      </w:r>
    </w:p>
    <w:p w:rsidR="00233BBE" w:rsidRDefault="00233BBE" w:rsidP="00233BB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prawo wniesienia skargi do Prezesa Urzędu Ochrony Danych Osobowych</w:t>
      </w:r>
      <w:r>
        <w:br/>
        <w:t xml:space="preserve">(ul. Stawki 2, 00-193 Warszawa), w sytuacji, gdy uzna Pani/Pan, że przetwarzanie danych osobowych narusza przepisy ogólnego rozporządzenia o ochronie danych osobowych (RODO); </w:t>
      </w:r>
    </w:p>
    <w:p w:rsidR="00233BBE" w:rsidRDefault="00233BBE" w:rsidP="00233BBE">
      <w:pPr>
        <w:pStyle w:val="NormalnyWeb"/>
        <w:ind w:left="720"/>
      </w:pPr>
      <w:r>
        <w:t> </w:t>
      </w:r>
    </w:p>
    <w:p w:rsidR="00233BBE" w:rsidRDefault="00233BBE" w:rsidP="00233BB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Podanie przez Państwa danych osobowych jest obowiązkowe. Nieprzekazanie danych skutkować będzie brakiem realizacji celu, o którym mowa w punkcie 2.</w:t>
      </w:r>
    </w:p>
    <w:p w:rsidR="00233BBE" w:rsidRDefault="00233BBE" w:rsidP="00233BB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lastRenderedPageBreak/>
        <w:t>Państwa dane mogą zostać przekazane podmiotom zewnętrznym na podstawie umowy powierzenia przetwarzania danych osobowych, a także podmiotom lub organom uprawnionym na podstawie przepisów prawa.</w:t>
      </w:r>
    </w:p>
    <w:p w:rsidR="00233BBE" w:rsidRDefault="00233BBE"/>
    <w:sectPr w:rsidR="00233BBE" w:rsidSect="0040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CB"/>
    <w:multiLevelType w:val="multilevel"/>
    <w:tmpl w:val="8FE2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5C5"/>
    <w:multiLevelType w:val="multilevel"/>
    <w:tmpl w:val="EF82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1F69"/>
    <w:multiLevelType w:val="multilevel"/>
    <w:tmpl w:val="4BB4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122DF"/>
    <w:multiLevelType w:val="multilevel"/>
    <w:tmpl w:val="4518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E1799"/>
    <w:multiLevelType w:val="multilevel"/>
    <w:tmpl w:val="FEEC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2483"/>
    <w:multiLevelType w:val="multilevel"/>
    <w:tmpl w:val="EFF2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E2A92"/>
    <w:multiLevelType w:val="multilevel"/>
    <w:tmpl w:val="ABEC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5648C"/>
    <w:multiLevelType w:val="multilevel"/>
    <w:tmpl w:val="29F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3045C"/>
    <w:multiLevelType w:val="multilevel"/>
    <w:tmpl w:val="B540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17383"/>
    <w:multiLevelType w:val="multilevel"/>
    <w:tmpl w:val="58F4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923CA"/>
    <w:multiLevelType w:val="multilevel"/>
    <w:tmpl w:val="648C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42919"/>
    <w:multiLevelType w:val="multilevel"/>
    <w:tmpl w:val="C9BA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57F5B"/>
    <w:multiLevelType w:val="multilevel"/>
    <w:tmpl w:val="1528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C3A8D"/>
    <w:multiLevelType w:val="multilevel"/>
    <w:tmpl w:val="D88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33EBB"/>
    <w:multiLevelType w:val="multilevel"/>
    <w:tmpl w:val="7BDA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E5AA8"/>
    <w:multiLevelType w:val="multilevel"/>
    <w:tmpl w:val="533A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C52FA"/>
    <w:multiLevelType w:val="multilevel"/>
    <w:tmpl w:val="35E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"/>
  </w:num>
  <w:num w:numId="5">
    <w:abstractNumId w:val="1"/>
    <w:lvlOverride w:ilvl="0">
      <w:startOverride w:val="4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33BBE"/>
    <w:rsid w:val="00233BBE"/>
    <w:rsid w:val="00406B55"/>
    <w:rsid w:val="0041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B55"/>
  </w:style>
  <w:style w:type="paragraph" w:styleId="Nagwek2">
    <w:name w:val="heading 2"/>
    <w:basedOn w:val="Normalny"/>
    <w:link w:val="Nagwek2Znak"/>
    <w:uiPriority w:val="9"/>
    <w:qFormat/>
    <w:rsid w:val="0023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3BB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3B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233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11891</Characters>
  <Application>Microsoft Office Word</Application>
  <DocSecurity>0</DocSecurity>
  <Lines>99</Lines>
  <Paragraphs>27</Paragraphs>
  <ScaleCrop>false</ScaleCrop>
  <Company>Microsoft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2020-11-20T09:44:00Z</dcterms:created>
  <dcterms:modified xsi:type="dcterms:W3CDTF">2020-11-20T09:47:00Z</dcterms:modified>
</cp:coreProperties>
</file>